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6C" w:rsidRPr="00326033" w:rsidRDefault="002C19B1" w:rsidP="002C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3">
        <w:rPr>
          <w:rFonts w:ascii="Times New Roman" w:hAnsi="Times New Roman" w:cs="Times New Roman"/>
          <w:b/>
          <w:sz w:val="24"/>
          <w:szCs w:val="24"/>
        </w:rPr>
        <w:t xml:space="preserve">BASIC ACADEMIC COACHING </w:t>
      </w:r>
      <w:r w:rsidR="00326033">
        <w:rPr>
          <w:rFonts w:ascii="Times New Roman" w:hAnsi="Times New Roman" w:cs="Times New Roman"/>
          <w:b/>
          <w:sz w:val="24"/>
          <w:szCs w:val="24"/>
        </w:rPr>
        <w:t xml:space="preserve">LITERATURE </w:t>
      </w:r>
      <w:r w:rsidRPr="00326033">
        <w:rPr>
          <w:rFonts w:ascii="Times New Roman" w:hAnsi="Times New Roman" w:cs="Times New Roman"/>
          <w:b/>
          <w:sz w:val="24"/>
          <w:szCs w:val="24"/>
        </w:rPr>
        <w:t>FINDINGS</w:t>
      </w:r>
    </w:p>
    <w:p w:rsidR="002C19B1" w:rsidRPr="00D82C3A" w:rsidRDefault="002C19B1" w:rsidP="002C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B1" w:rsidRPr="00D82C3A" w:rsidRDefault="002C19B1" w:rsidP="002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C3A">
        <w:rPr>
          <w:rFonts w:ascii="Times New Roman" w:hAnsi="Times New Roman" w:cs="Times New Roman"/>
          <w:b/>
          <w:sz w:val="24"/>
          <w:szCs w:val="24"/>
        </w:rPr>
        <w:t xml:space="preserve">“Exploring the Effectiveness of Academic Coaching for Academically At-Risk College Students” – </w:t>
      </w:r>
      <w:r w:rsidRPr="00D82C3A">
        <w:rPr>
          <w:rFonts w:ascii="Times New Roman" w:hAnsi="Times New Roman" w:cs="Times New Roman"/>
          <w:b/>
          <w:i/>
          <w:sz w:val="24"/>
          <w:szCs w:val="24"/>
        </w:rPr>
        <w:t>Innovative Higher Education</w:t>
      </w:r>
      <w:r w:rsidRPr="00D82C3A">
        <w:rPr>
          <w:rFonts w:ascii="Times New Roman" w:hAnsi="Times New Roman" w:cs="Times New Roman"/>
          <w:b/>
          <w:sz w:val="24"/>
          <w:szCs w:val="24"/>
        </w:rPr>
        <w:t xml:space="preserve"> (2019)</w:t>
      </w: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[O]</w:t>
      </w:r>
      <w:r w:rsidRPr="002C19B1">
        <w:rPr>
          <w:rFonts w:ascii="Times New Roman" w:hAnsi="Times New Roman" w:cs="Times New Roman"/>
          <w:sz w:val="24"/>
          <w:szCs w:val="24"/>
        </w:rPr>
        <w:t>n average, those students who participated in coaching saw a greater increase in GPA (.52 increase for full-time .75 increase for part-time) than did those who did not participate (.04 increase for full-time, .28 increase for part-time).</w:t>
      </w: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19B1">
        <w:rPr>
          <w:rFonts w:ascii="Times New Roman" w:hAnsi="Times New Roman" w:cs="Times New Roman"/>
          <w:sz w:val="24"/>
          <w:szCs w:val="24"/>
        </w:rPr>
        <w:t>Full-time students on academic warning who participated in academic coaching were more likely to be retained the following semester (63.8%) as compared to those who did not participate in academic coaching (45.7%).</w:t>
      </w: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Pr="00D82C3A" w:rsidRDefault="002C19B1" w:rsidP="002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C3A">
        <w:rPr>
          <w:rFonts w:ascii="Times New Roman" w:hAnsi="Times New Roman" w:cs="Times New Roman"/>
          <w:b/>
          <w:sz w:val="24"/>
          <w:szCs w:val="24"/>
        </w:rPr>
        <w:t xml:space="preserve">“An Academic Coaching Model [Prosper] for First-Year Student Success” – </w:t>
      </w:r>
      <w:r w:rsidRPr="00D82C3A">
        <w:rPr>
          <w:rFonts w:ascii="Times New Roman" w:hAnsi="Times New Roman" w:cs="Times New Roman"/>
          <w:b/>
          <w:i/>
          <w:sz w:val="24"/>
          <w:szCs w:val="24"/>
        </w:rPr>
        <w:t>ResearchGate</w:t>
      </w:r>
      <w:r w:rsidRPr="00D82C3A">
        <w:rPr>
          <w:rFonts w:ascii="Times New Roman" w:hAnsi="Times New Roman" w:cs="Times New Roman"/>
          <w:b/>
          <w:sz w:val="24"/>
          <w:szCs w:val="24"/>
        </w:rPr>
        <w:t xml:space="preserve"> (2016)</w:t>
      </w:r>
    </w:p>
    <w:p w:rsidR="002C19B1" w:rsidRPr="00D82C3A" w:rsidRDefault="002C19B1" w:rsidP="002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B1" w:rsidRPr="00406D75" w:rsidRDefault="002C19B1" w:rsidP="002C19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30"/>
        <w:tblW w:w="9805" w:type="dxa"/>
        <w:tblLook w:val="04A0" w:firstRow="1" w:lastRow="0" w:firstColumn="1" w:lastColumn="0" w:noHBand="0" w:noVBand="1"/>
      </w:tblPr>
      <w:tblGrid>
        <w:gridCol w:w="933"/>
        <w:gridCol w:w="4126"/>
        <w:gridCol w:w="1279"/>
        <w:gridCol w:w="1635"/>
        <w:gridCol w:w="1832"/>
      </w:tblGrid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PROSPER                     </w:t>
            </w:r>
          </w:p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(N = 25)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NON-PROSPER            </w:t>
            </w:r>
            <w:proofErr w:type="gramStart"/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  (</w:t>
            </w:r>
            <w:proofErr w:type="gramEnd"/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 = 28)</w:t>
            </w:r>
          </w:p>
        </w:tc>
      </w:tr>
      <w:tr w:rsidR="002C19B1" w:rsidRPr="00406D75" w:rsidTr="00BC73A2">
        <w:trPr>
          <w:trHeight w:val="2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GPA COMPARISON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Semester GPA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2.56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1.9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Credits Attempted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13.4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13</w:t>
            </w:r>
          </w:p>
        </w:tc>
      </w:tr>
      <w:tr w:rsidR="002C19B1" w:rsidRPr="00406D75" w:rsidTr="00BC73A2">
        <w:trPr>
          <w:trHeight w:val="24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ACADEMIC PROBATION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Number of Students on their first semester of Academic Probation (P1)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13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Percent of Cohort on P1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11.5%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46.4%</w:t>
            </w:r>
          </w:p>
        </w:tc>
      </w:tr>
      <w:tr w:rsidR="002C19B1" w:rsidRPr="00406D75" w:rsidTr="00BC73A2">
        <w:trPr>
          <w:trHeight w:val="24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ATTENDANCE COMPARISON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Total Absences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473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Average Absences / Student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16.9</w:t>
            </w:r>
          </w:p>
        </w:tc>
      </w:tr>
      <w:tr w:rsidR="002C19B1" w:rsidRPr="00406D75" w:rsidTr="00BC73A2">
        <w:trPr>
          <w:trHeight w:val="24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LRC COMPARISON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Total Visits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56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Visits per Student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2.65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2.23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Number of Students using LRC at least once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6</w:t>
            </w:r>
          </w:p>
        </w:tc>
      </w:tr>
      <w:tr w:rsidR="002C19B1" w:rsidRPr="00406D75" w:rsidTr="00BC73A2">
        <w:trPr>
          <w:trHeight w:val="2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Visits per User (</w:t>
            </w:r>
            <w:r w:rsidRPr="00406D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visits divided by number of students who visited at least once)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6.64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B1" w:rsidRPr="00406D75" w:rsidRDefault="002C19B1" w:rsidP="00BC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406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9.66</w:t>
            </w:r>
          </w:p>
        </w:tc>
      </w:tr>
    </w:tbl>
    <w:p w:rsidR="002C19B1" w:rsidRPr="00406D75" w:rsidRDefault="002C19B1" w:rsidP="002C19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D75">
        <w:rPr>
          <w:rFonts w:ascii="Times New Roman" w:hAnsi="Times New Roman" w:cs="Times New Roman"/>
          <w:sz w:val="18"/>
          <w:szCs w:val="18"/>
        </w:rPr>
        <w:t xml:space="preserve">Table 1: </w:t>
      </w:r>
      <w:r w:rsidRPr="00406D75">
        <w:rPr>
          <w:rFonts w:ascii="Times New Roman" w:hAnsi="Times New Roman" w:cs="Times New Roman"/>
          <w:i/>
          <w:sz w:val="18"/>
          <w:szCs w:val="18"/>
        </w:rPr>
        <w:t>Comparison data of student performance</w:t>
      </w: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33" w:rsidRDefault="00326033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33" w:rsidRDefault="00326033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Pr="00D82C3A" w:rsidRDefault="002C19B1" w:rsidP="002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C3A">
        <w:rPr>
          <w:rFonts w:ascii="Times New Roman" w:hAnsi="Times New Roman" w:cs="Times New Roman"/>
          <w:b/>
          <w:sz w:val="24"/>
          <w:szCs w:val="24"/>
        </w:rPr>
        <w:t xml:space="preserve">“Coaching Students to Academic Success and Engagement on Campus” – </w:t>
      </w:r>
      <w:r w:rsidRPr="00D82C3A">
        <w:rPr>
          <w:rFonts w:ascii="Times New Roman" w:hAnsi="Times New Roman" w:cs="Times New Roman"/>
          <w:b/>
          <w:i/>
          <w:sz w:val="24"/>
          <w:szCs w:val="24"/>
        </w:rPr>
        <w:t>About Campus</w:t>
      </w:r>
      <w:r w:rsidRPr="00D82C3A">
        <w:rPr>
          <w:rFonts w:ascii="Times New Roman" w:hAnsi="Times New Roman" w:cs="Times New Roman"/>
          <w:b/>
          <w:sz w:val="24"/>
          <w:szCs w:val="24"/>
        </w:rPr>
        <w:t xml:space="preserve"> (2010)</w:t>
      </w:r>
    </w:p>
    <w:p w:rsidR="002C19B1" w:rsidRDefault="002C19B1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T[</w:t>
      </w:r>
      <w:proofErr w:type="gramEnd"/>
      <w:r w:rsidRPr="002C19B1">
        <w:rPr>
          <w:rFonts w:ascii="Times New Roman" w:hAnsi="Times New Roman" w:cs="Times New Roman"/>
          <w:sz w:val="24"/>
          <w:szCs w:val="24"/>
        </w:rPr>
        <w:t xml:space="preserve">he academic Centers of </w:t>
      </w:r>
      <w:r w:rsidR="00326033">
        <w:rPr>
          <w:rFonts w:ascii="Times New Roman" w:hAnsi="Times New Roman" w:cs="Times New Roman"/>
          <w:sz w:val="24"/>
          <w:szCs w:val="24"/>
        </w:rPr>
        <w:t>E</w:t>
      </w:r>
      <w:r w:rsidRPr="002C19B1">
        <w:rPr>
          <w:rFonts w:ascii="Times New Roman" w:hAnsi="Times New Roman" w:cs="Times New Roman"/>
          <w:sz w:val="24"/>
          <w:szCs w:val="24"/>
        </w:rPr>
        <w:t>xcellence (</w:t>
      </w:r>
      <w:r>
        <w:rPr>
          <w:rFonts w:ascii="Times New Roman" w:hAnsi="Times New Roman" w:cs="Times New Roman"/>
          <w:sz w:val="24"/>
          <w:szCs w:val="24"/>
        </w:rPr>
        <w:t>ACE</w:t>
      </w:r>
      <w:r w:rsidRPr="002C19B1">
        <w:rPr>
          <w:rFonts w:ascii="Times New Roman" w:hAnsi="Times New Roman" w:cs="Times New Roman"/>
          <w:sz w:val="24"/>
          <w:szCs w:val="24"/>
        </w:rPr>
        <w:t xml:space="preserve">) Office met and coached 182 academically deficient students appealing the loss of their financial aid. Of those 182 students, 92 percent (168) improved their </w:t>
      </w:r>
      <w:r w:rsidR="00326033">
        <w:rPr>
          <w:rFonts w:ascii="Times New Roman" w:hAnsi="Times New Roman" w:cs="Times New Roman"/>
          <w:sz w:val="24"/>
          <w:szCs w:val="24"/>
        </w:rPr>
        <w:t>GPA</w:t>
      </w:r>
      <w:r w:rsidRPr="002C19B1">
        <w:rPr>
          <w:rFonts w:ascii="Times New Roman" w:hAnsi="Times New Roman" w:cs="Times New Roman"/>
          <w:sz w:val="24"/>
          <w:szCs w:val="24"/>
        </w:rPr>
        <w:t xml:space="preserve"> and demonstrated academic improvement over one academic year. </w:t>
      </w: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19B1" w:rsidRDefault="002C19B1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19B1">
        <w:rPr>
          <w:rFonts w:ascii="Times New Roman" w:hAnsi="Times New Roman" w:cs="Times New Roman"/>
          <w:sz w:val="24"/>
          <w:szCs w:val="24"/>
        </w:rPr>
        <w:t xml:space="preserve">In 2008–2009 the </w:t>
      </w:r>
      <w:r w:rsidR="00326033">
        <w:rPr>
          <w:rFonts w:ascii="Times New Roman" w:hAnsi="Times New Roman" w:cs="Times New Roman"/>
          <w:sz w:val="24"/>
          <w:szCs w:val="24"/>
        </w:rPr>
        <w:t>U</w:t>
      </w:r>
      <w:r w:rsidRPr="002C19B1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326033">
        <w:rPr>
          <w:rFonts w:ascii="Times New Roman" w:hAnsi="Times New Roman" w:cs="Times New Roman"/>
          <w:sz w:val="24"/>
          <w:szCs w:val="24"/>
        </w:rPr>
        <w:t>S</w:t>
      </w:r>
      <w:r w:rsidRPr="002C19B1">
        <w:rPr>
          <w:rFonts w:ascii="Times New Roman" w:hAnsi="Times New Roman" w:cs="Times New Roman"/>
          <w:sz w:val="24"/>
          <w:szCs w:val="24"/>
        </w:rPr>
        <w:t xml:space="preserve">outh Carolina implemented a new academic standards policy. any first-year student after the fall semester whose </w:t>
      </w:r>
      <w:r w:rsidR="00326033">
        <w:rPr>
          <w:rFonts w:ascii="Times New Roman" w:hAnsi="Times New Roman" w:cs="Times New Roman"/>
          <w:sz w:val="24"/>
          <w:szCs w:val="24"/>
        </w:rPr>
        <w:t>GPA</w:t>
      </w:r>
      <w:r w:rsidRPr="002C19B1">
        <w:rPr>
          <w:rFonts w:ascii="Times New Roman" w:hAnsi="Times New Roman" w:cs="Times New Roman"/>
          <w:sz w:val="24"/>
          <w:szCs w:val="24"/>
        </w:rPr>
        <w:t xml:space="preserve"> fell below a 2.0 was required to meet with an </w:t>
      </w:r>
      <w:r w:rsidR="00326033">
        <w:rPr>
          <w:rFonts w:ascii="Times New Roman" w:hAnsi="Times New Roman" w:cs="Times New Roman"/>
          <w:sz w:val="24"/>
          <w:szCs w:val="24"/>
        </w:rPr>
        <w:t>ACE</w:t>
      </w:r>
      <w:r w:rsidRPr="002C19B1">
        <w:rPr>
          <w:rFonts w:ascii="Times New Roman" w:hAnsi="Times New Roman" w:cs="Times New Roman"/>
          <w:sz w:val="24"/>
          <w:szCs w:val="24"/>
        </w:rPr>
        <w:t xml:space="preserve"> coach in the spring semester. Of the 218 freshmen on probation after the fall 2008 semester, 22 opted to meet a second time with the </w:t>
      </w:r>
      <w:r w:rsidR="00326033">
        <w:rPr>
          <w:rFonts w:ascii="Times New Roman" w:hAnsi="Times New Roman" w:cs="Times New Roman"/>
          <w:sz w:val="24"/>
          <w:szCs w:val="24"/>
        </w:rPr>
        <w:t>ACE</w:t>
      </w:r>
      <w:r w:rsidRPr="002C19B1">
        <w:rPr>
          <w:rFonts w:ascii="Times New Roman" w:hAnsi="Times New Roman" w:cs="Times New Roman"/>
          <w:sz w:val="24"/>
          <w:szCs w:val="24"/>
        </w:rPr>
        <w:t xml:space="preserve"> </w:t>
      </w:r>
      <w:r w:rsidRPr="002C19B1">
        <w:rPr>
          <w:rFonts w:ascii="Times New Roman" w:hAnsi="Times New Roman" w:cs="Times New Roman"/>
          <w:sz w:val="24"/>
          <w:szCs w:val="24"/>
        </w:rPr>
        <w:lastRenderedPageBreak/>
        <w:t>coaches, and 10 attended three sessions. the result yielded 40 percent fewer suspended students than predicted.</w:t>
      </w:r>
    </w:p>
    <w:p w:rsidR="00326033" w:rsidRDefault="00326033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6033" w:rsidRDefault="00326033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33" w:rsidRPr="00D82C3A" w:rsidRDefault="00326033" w:rsidP="002C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C3A">
        <w:rPr>
          <w:rFonts w:ascii="Times New Roman" w:hAnsi="Times New Roman" w:cs="Times New Roman"/>
          <w:b/>
          <w:sz w:val="24"/>
          <w:szCs w:val="24"/>
        </w:rPr>
        <w:t xml:space="preserve">“Academic Coaching: Outcomes from a Pilot Group of Postsecondary Students with Disabilities” – </w:t>
      </w:r>
      <w:r w:rsidRPr="00D82C3A">
        <w:rPr>
          <w:rFonts w:ascii="Times New Roman" w:hAnsi="Times New Roman" w:cs="Times New Roman"/>
          <w:b/>
          <w:i/>
          <w:sz w:val="24"/>
          <w:szCs w:val="24"/>
        </w:rPr>
        <w:t>Journal of Postsecondary Education and Disability</w:t>
      </w:r>
      <w:r w:rsidRPr="00D82C3A">
        <w:rPr>
          <w:rFonts w:ascii="Times New Roman" w:hAnsi="Times New Roman" w:cs="Times New Roman"/>
          <w:b/>
          <w:sz w:val="24"/>
          <w:szCs w:val="24"/>
        </w:rPr>
        <w:t xml:space="preserve"> (2015)</w:t>
      </w:r>
    </w:p>
    <w:p w:rsidR="00326033" w:rsidRDefault="00326033" w:rsidP="002C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C3A" w:rsidRDefault="00326033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033">
        <w:rPr>
          <w:rFonts w:ascii="Times New Roman" w:hAnsi="Times New Roman" w:cs="Times New Roman"/>
          <w:sz w:val="24"/>
          <w:szCs w:val="24"/>
        </w:rPr>
        <w:t>Data collected during the pilot initiative also suggests that the academic coaching service improved the study skills, self-conﬁ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6033">
        <w:rPr>
          <w:rFonts w:ascii="Times New Roman" w:hAnsi="Times New Roman" w:cs="Times New Roman"/>
          <w:sz w:val="24"/>
          <w:szCs w:val="24"/>
        </w:rPr>
        <w:t xml:space="preserve">ence, and motivation of postsecondary STEM students with a variety of disabilities. </w:t>
      </w:r>
    </w:p>
    <w:p w:rsidR="00D82C3A" w:rsidRDefault="00D82C3A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6033" w:rsidRPr="002C19B1" w:rsidRDefault="00326033" w:rsidP="00326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033">
        <w:rPr>
          <w:rFonts w:ascii="Times New Roman" w:hAnsi="Times New Roman" w:cs="Times New Roman"/>
          <w:sz w:val="24"/>
          <w:szCs w:val="24"/>
        </w:rPr>
        <w:t>Speciﬁcally, students identiﬁed time management, note taking, organization, prioritizing, writing, self-advocacy, and stress management among the strategies and skills they had learned through their academic coaching experiences.</w:t>
      </w:r>
    </w:p>
    <w:sectPr w:rsidR="00326033" w:rsidRPr="002C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B1"/>
    <w:rsid w:val="002C19B1"/>
    <w:rsid w:val="00326033"/>
    <w:rsid w:val="009A6FC6"/>
    <w:rsid w:val="00A8606C"/>
    <w:rsid w:val="00D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9E2"/>
  <w15:chartTrackingRefBased/>
  <w15:docId w15:val="{8EFE5894-1F90-4354-B89E-B8541DDC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Bogue</dc:creator>
  <cp:keywords/>
  <dc:description/>
  <cp:lastModifiedBy>Mike Bogue</cp:lastModifiedBy>
  <cp:revision>2</cp:revision>
  <dcterms:created xsi:type="dcterms:W3CDTF">2020-07-07T17:58:00Z</dcterms:created>
  <dcterms:modified xsi:type="dcterms:W3CDTF">2020-07-07T17:58:00Z</dcterms:modified>
</cp:coreProperties>
</file>